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1f497d"/>
        </w:rPr>
      </w:pPr>
      <w:r w:rsidDel="00000000" w:rsidR="00000000" w:rsidRPr="00000000">
        <w:rPr>
          <w:rFonts w:ascii="Times New Roman" w:cs="Times New Roman" w:eastAsia="Times New Roman" w:hAnsi="Times New Roman"/>
          <w:b w:val="1"/>
          <w:color w:val="1f497d"/>
        </w:rPr>
        <w:drawing>
          <wp:inline distB="114300" distT="114300" distL="114300" distR="114300">
            <wp:extent cx="3810000" cy="150495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100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color w:val="1f497d"/>
        </w:rPr>
      </w:pPr>
      <w:r w:rsidDel="00000000" w:rsidR="00000000" w:rsidRPr="00000000">
        <w:rPr>
          <w:rFonts w:ascii="Times New Roman" w:cs="Times New Roman" w:eastAsia="Times New Roman" w:hAnsi="Times New Roman"/>
          <w:b w:val="1"/>
          <w:color w:val="1f497d"/>
          <w:rtl w:val="0"/>
        </w:rPr>
        <w:t xml:space="preserve">Preparing for the shift from high school to post-secondary education.</w:t>
      </w:r>
    </w:p>
    <w:p w:rsidR="00000000" w:rsidDel="00000000" w:rsidP="00000000" w:rsidRDefault="00000000" w:rsidRPr="00000000" w14:paraId="00000003">
      <w:pPr>
        <w:pageBreakBefore w:val="0"/>
        <w:rPr>
          <w:rFonts w:ascii="Times New Roman" w:cs="Times New Roman" w:eastAsia="Times New Roman" w:hAnsi="Times New Roman"/>
          <w:color w:val="1f497d"/>
        </w:rPr>
      </w:pPr>
      <w:r w:rsidDel="00000000" w:rsidR="00000000" w:rsidRPr="00000000">
        <w:rPr>
          <w:rFonts w:ascii="Times New Roman" w:cs="Times New Roman" w:eastAsia="Times New Roman" w:hAnsi="Times New Roman"/>
          <w:color w:val="1f497d"/>
          <w:rtl w:val="0"/>
        </w:rPr>
        <w:t xml:space="preserve">What is an accommodation? </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have full access to your post-secondary classes, you might use academic accommodations. Accommodations reduce/remove barriers to your academic experience. To help the disability services office work with you to determine what accommodations are reasonable and appropriate for you, it is important for you to think about how your disability impacts your learning. Use the following guiding questions to organize your thoughts: </w:t>
      </w:r>
    </w:p>
    <w:p w:rsidR="00000000" w:rsidDel="00000000" w:rsidP="00000000" w:rsidRDefault="00000000" w:rsidRPr="00000000" w14:paraId="00000005">
      <w:pPr>
        <w:pageBreakBefore w:val="0"/>
        <w:rPr>
          <w:rFonts w:ascii="Times New Roman" w:cs="Times New Roman" w:eastAsia="Times New Roman" w:hAnsi="Times New Roman"/>
          <w:color w:val="1f497d"/>
        </w:rPr>
      </w:pPr>
      <w:r w:rsidDel="00000000" w:rsidR="00000000" w:rsidRPr="00000000">
        <w:rPr>
          <w:rFonts w:ascii="Times New Roman" w:cs="Times New Roman" w:eastAsia="Times New Roman" w:hAnsi="Times New Roman"/>
          <w:color w:val="1f497d"/>
          <w:rtl w:val="0"/>
        </w:rPr>
        <w:t xml:space="preserve">I use an IEP/504 plan in high school because my disability is  _______________________________ (be as specific as possible) </w:t>
      </w:r>
    </w:p>
    <w:p w:rsidR="00000000" w:rsidDel="00000000" w:rsidP="00000000" w:rsidRDefault="00000000" w:rsidRPr="00000000" w14:paraId="00000006">
      <w:pPr>
        <w:pageBreakBefore w:val="0"/>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color w:val="1f497d"/>
        </w:rPr>
      </w:pPr>
      <w:r w:rsidDel="00000000" w:rsidR="00000000" w:rsidRPr="00000000">
        <w:rPr>
          <w:rFonts w:ascii="Times New Roman" w:cs="Times New Roman" w:eastAsia="Times New Roman" w:hAnsi="Times New Roman"/>
          <w:color w:val="1f497d"/>
          <w:rtl w:val="0"/>
        </w:rPr>
        <w:t xml:space="preserve">My disability impacts my ability to learn in these three ways: </w:t>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0C">
      <w:pPr>
        <w:pageBreakBefore w:val="0"/>
        <w:rPr/>
      </w:pPr>
      <w:bookmarkStart w:colFirst="0" w:colLast="0" w:name="_heading=h.r9xze1d4yna2" w:id="0"/>
      <w:bookmarkEnd w:id="0"/>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color w:val="1f497d"/>
        </w:rPr>
      </w:pPr>
      <w:bookmarkStart w:colFirst="0" w:colLast="0" w:name="_heading=h.hg1z5bwrmav5" w:id="1"/>
      <w:bookmarkEnd w:id="1"/>
      <w:r w:rsidDel="00000000" w:rsidR="00000000" w:rsidRPr="00000000">
        <w:rPr>
          <w:rFonts w:ascii="Times New Roman" w:cs="Times New Roman" w:eastAsia="Times New Roman" w:hAnsi="Times New Roman"/>
          <w:color w:val="1f497d"/>
          <w:rtl w:val="0"/>
        </w:rPr>
        <w:t xml:space="preserve">Use the table below to organize your thoughts on your high school special education experience: </w:t>
      </w:r>
    </w:p>
    <w:tbl>
      <w:tblPr>
        <w:tblStyle w:val="Table1"/>
        <w:tblW w:w="1467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3660"/>
        <w:gridCol w:w="2250"/>
        <w:gridCol w:w="5700"/>
        <w:tblGridChange w:id="0">
          <w:tblGrid>
            <w:gridCol w:w="3060"/>
            <w:gridCol w:w="3660"/>
            <w:gridCol w:w="2250"/>
            <w:gridCol w:w="5700"/>
          </w:tblGrid>
        </w:tblGridChange>
      </w:tblGrid>
      <w:tr>
        <w:trPr>
          <w:cantSplit w:val="0"/>
          <w:trHeight w:val="728" w:hRule="atLeast"/>
          <w:tblHeader w:val="0"/>
        </w:trPr>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accommodations/adjustments</w:t>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my accommodations/adjustments</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 scale of 0-5, I would rate my accommodations as follows: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 never used </w:t>
            </w:r>
          </w:p>
          <w:p w:rsidR="00000000" w:rsidDel="00000000" w:rsidP="00000000" w:rsidRDefault="00000000" w:rsidRPr="00000000" w14:paraId="00000012">
            <w:pPr>
              <w:rPr>
                <w:rFonts w:ascii="Times New Roman" w:cs="Times New Roman" w:eastAsia="Times New Roman" w:hAnsi="Times New Roman"/>
                <w:color w:val="548dd4"/>
                <w:sz w:val="18"/>
                <w:szCs w:val="18"/>
              </w:rPr>
            </w:pPr>
            <w:r w:rsidDel="00000000" w:rsidR="00000000" w:rsidRPr="00000000">
              <w:rPr>
                <w:rFonts w:ascii="Times New Roman" w:cs="Times New Roman" w:eastAsia="Times New Roman" w:hAnsi="Times New Roman"/>
                <w:rtl w:val="0"/>
              </w:rPr>
              <w:t xml:space="preserve">5 = very helpful</w:t>
            </w: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Things to remember to ask or mention during my meeting with the disability services office</w:t>
            </w:r>
          </w:p>
        </w:tc>
      </w:tr>
      <w:tr>
        <w:trPr>
          <w:cantSplit w:val="0"/>
          <w:trHeight w:val="1080" w:hRule="atLeast"/>
          <w:tblHeader w:val="0"/>
        </w:trPr>
        <w:tc>
          <w:tcPr/>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Example: </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Take tests in a private environment. </w:t>
            </w:r>
          </w:p>
        </w:tc>
        <w:tc>
          <w:tcPr/>
          <w:p w:rsidR="00000000" w:rsidDel="00000000" w:rsidP="00000000" w:rsidRDefault="00000000" w:rsidRPr="00000000" w14:paraId="0000001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My ADHD impacts my focus and I get distracted by others and/or the noises around me. </w:t>
            </w:r>
          </w:p>
        </w:tc>
        <w:tc>
          <w:tcPr/>
          <w:p w:rsidR="00000000" w:rsidDel="00000000" w:rsidP="00000000" w:rsidRDefault="00000000" w:rsidRPr="00000000" w14:paraId="0000001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w:t>
            </w:r>
          </w:p>
        </w:tc>
        <w:tc>
          <w:tcPr/>
          <w:p w:rsidR="00000000" w:rsidDel="00000000" w:rsidP="00000000" w:rsidRDefault="00000000" w:rsidRPr="00000000" w14:paraId="0000001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Is there a place I need to go to so I can take my test in a private room? </w:t>
            </w:r>
          </w:p>
        </w:tc>
      </w:tr>
      <w:tr>
        <w:trPr>
          <w:cantSplit w:val="0"/>
          <w:trHeight w:val="720" w:hRule="atLeast"/>
          <w:tblHeader w:val="0"/>
        </w:trPr>
        <w:tc>
          <w:tcPr/>
          <w:p w:rsidR="00000000" w:rsidDel="00000000" w:rsidP="00000000" w:rsidRDefault="00000000" w:rsidRPr="00000000" w14:paraId="00000019">
            <w:pPr>
              <w:rPr>
                <w:color w:val="548dd4"/>
              </w:rPr>
            </w:pPr>
            <w:r w:rsidDel="00000000" w:rsidR="00000000" w:rsidRPr="00000000">
              <w:rPr>
                <w:rtl w:val="0"/>
              </w:rPr>
            </w:r>
          </w:p>
        </w:tc>
        <w:tc>
          <w:tcPr/>
          <w:p w:rsidR="00000000" w:rsidDel="00000000" w:rsidP="00000000" w:rsidRDefault="00000000" w:rsidRPr="00000000" w14:paraId="0000001A">
            <w:pPr>
              <w:rPr>
                <w:color w:val="548dd4"/>
              </w:rPr>
            </w:pPr>
            <w:r w:rsidDel="00000000" w:rsidR="00000000" w:rsidRPr="00000000">
              <w:rPr>
                <w:rtl w:val="0"/>
              </w:rPr>
            </w:r>
          </w:p>
        </w:tc>
        <w:tc>
          <w:tcPr/>
          <w:p w:rsidR="00000000" w:rsidDel="00000000" w:rsidP="00000000" w:rsidRDefault="00000000" w:rsidRPr="00000000" w14:paraId="0000001B">
            <w:pPr>
              <w:rPr>
                <w:color w:val="548dd4"/>
              </w:rPr>
            </w:pPr>
            <w:r w:rsidDel="00000000" w:rsidR="00000000" w:rsidRPr="00000000">
              <w:rPr>
                <w:rtl w:val="0"/>
              </w:rPr>
            </w:r>
          </w:p>
        </w:tc>
        <w:tc>
          <w:tcPr/>
          <w:p w:rsidR="00000000" w:rsidDel="00000000" w:rsidP="00000000" w:rsidRDefault="00000000" w:rsidRPr="00000000" w14:paraId="0000001C">
            <w:pPr>
              <w:rPr>
                <w:color w:val="548dd4"/>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D">
            <w:pPr>
              <w:rPr>
                <w:color w:val="548dd4"/>
              </w:rPr>
            </w:pPr>
            <w:r w:rsidDel="00000000" w:rsidR="00000000" w:rsidRPr="00000000">
              <w:rPr>
                <w:rtl w:val="0"/>
              </w:rPr>
            </w:r>
          </w:p>
        </w:tc>
        <w:tc>
          <w:tcPr/>
          <w:p w:rsidR="00000000" w:rsidDel="00000000" w:rsidP="00000000" w:rsidRDefault="00000000" w:rsidRPr="00000000" w14:paraId="0000001E">
            <w:pPr>
              <w:rPr>
                <w:color w:val="548dd4"/>
              </w:rPr>
            </w:pPr>
            <w:r w:rsidDel="00000000" w:rsidR="00000000" w:rsidRPr="00000000">
              <w:rPr>
                <w:rtl w:val="0"/>
              </w:rPr>
            </w:r>
          </w:p>
        </w:tc>
        <w:tc>
          <w:tcPr/>
          <w:p w:rsidR="00000000" w:rsidDel="00000000" w:rsidP="00000000" w:rsidRDefault="00000000" w:rsidRPr="00000000" w14:paraId="0000001F">
            <w:pPr>
              <w:rPr>
                <w:color w:val="548dd4"/>
              </w:rPr>
            </w:pPr>
            <w:r w:rsidDel="00000000" w:rsidR="00000000" w:rsidRPr="00000000">
              <w:rPr>
                <w:rtl w:val="0"/>
              </w:rPr>
            </w:r>
          </w:p>
        </w:tc>
        <w:tc>
          <w:tcPr/>
          <w:p w:rsidR="00000000" w:rsidDel="00000000" w:rsidP="00000000" w:rsidRDefault="00000000" w:rsidRPr="00000000" w14:paraId="00000020">
            <w:pPr>
              <w:rPr>
                <w:color w:val="548dd4"/>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1">
            <w:pPr>
              <w:rPr>
                <w:color w:val="548dd4"/>
              </w:rPr>
            </w:pPr>
            <w:r w:rsidDel="00000000" w:rsidR="00000000" w:rsidRPr="00000000">
              <w:rPr>
                <w:rtl w:val="0"/>
              </w:rPr>
            </w:r>
          </w:p>
        </w:tc>
        <w:tc>
          <w:tcPr/>
          <w:p w:rsidR="00000000" w:rsidDel="00000000" w:rsidP="00000000" w:rsidRDefault="00000000" w:rsidRPr="00000000" w14:paraId="00000022">
            <w:pPr>
              <w:rPr>
                <w:color w:val="548dd4"/>
              </w:rPr>
            </w:pPr>
            <w:r w:rsidDel="00000000" w:rsidR="00000000" w:rsidRPr="00000000">
              <w:rPr>
                <w:rtl w:val="0"/>
              </w:rPr>
            </w:r>
          </w:p>
        </w:tc>
        <w:tc>
          <w:tcPr/>
          <w:p w:rsidR="00000000" w:rsidDel="00000000" w:rsidP="00000000" w:rsidRDefault="00000000" w:rsidRPr="00000000" w14:paraId="00000023">
            <w:pPr>
              <w:rPr>
                <w:color w:val="548dd4"/>
              </w:rPr>
            </w:pPr>
            <w:r w:rsidDel="00000000" w:rsidR="00000000" w:rsidRPr="00000000">
              <w:rPr>
                <w:rtl w:val="0"/>
              </w:rPr>
            </w:r>
          </w:p>
        </w:tc>
        <w:tc>
          <w:tcPr/>
          <w:p w:rsidR="00000000" w:rsidDel="00000000" w:rsidP="00000000" w:rsidRDefault="00000000" w:rsidRPr="00000000" w14:paraId="00000024">
            <w:pPr>
              <w:rPr>
                <w:color w:val="548dd4"/>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5">
            <w:pPr>
              <w:rPr>
                <w:color w:val="548dd4"/>
              </w:rPr>
            </w:pPr>
            <w:r w:rsidDel="00000000" w:rsidR="00000000" w:rsidRPr="00000000">
              <w:rPr>
                <w:rtl w:val="0"/>
              </w:rPr>
            </w:r>
          </w:p>
        </w:tc>
        <w:tc>
          <w:tcPr/>
          <w:p w:rsidR="00000000" w:rsidDel="00000000" w:rsidP="00000000" w:rsidRDefault="00000000" w:rsidRPr="00000000" w14:paraId="00000026">
            <w:pPr>
              <w:rPr>
                <w:color w:val="548dd4"/>
              </w:rPr>
            </w:pPr>
            <w:r w:rsidDel="00000000" w:rsidR="00000000" w:rsidRPr="00000000">
              <w:rPr>
                <w:rtl w:val="0"/>
              </w:rPr>
            </w:r>
          </w:p>
        </w:tc>
        <w:tc>
          <w:tcPr/>
          <w:p w:rsidR="00000000" w:rsidDel="00000000" w:rsidP="00000000" w:rsidRDefault="00000000" w:rsidRPr="00000000" w14:paraId="00000027">
            <w:pPr>
              <w:rPr>
                <w:color w:val="548dd4"/>
              </w:rPr>
            </w:pPr>
            <w:r w:rsidDel="00000000" w:rsidR="00000000" w:rsidRPr="00000000">
              <w:rPr>
                <w:rtl w:val="0"/>
              </w:rPr>
            </w:r>
          </w:p>
        </w:tc>
        <w:tc>
          <w:tcPr/>
          <w:p w:rsidR="00000000" w:rsidDel="00000000" w:rsidP="00000000" w:rsidRDefault="00000000" w:rsidRPr="00000000" w14:paraId="00000028">
            <w:pPr>
              <w:rPr>
                <w:color w:val="548dd4"/>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9">
            <w:pPr>
              <w:rPr>
                <w:color w:val="548dd4"/>
              </w:rPr>
            </w:pPr>
            <w:r w:rsidDel="00000000" w:rsidR="00000000" w:rsidRPr="00000000">
              <w:rPr>
                <w:rtl w:val="0"/>
              </w:rPr>
            </w:r>
          </w:p>
        </w:tc>
        <w:tc>
          <w:tcPr/>
          <w:p w:rsidR="00000000" w:rsidDel="00000000" w:rsidP="00000000" w:rsidRDefault="00000000" w:rsidRPr="00000000" w14:paraId="0000002A">
            <w:pPr>
              <w:rPr>
                <w:color w:val="548dd4"/>
              </w:rPr>
            </w:pPr>
            <w:r w:rsidDel="00000000" w:rsidR="00000000" w:rsidRPr="00000000">
              <w:rPr>
                <w:rtl w:val="0"/>
              </w:rPr>
            </w:r>
          </w:p>
        </w:tc>
        <w:tc>
          <w:tcPr/>
          <w:p w:rsidR="00000000" w:rsidDel="00000000" w:rsidP="00000000" w:rsidRDefault="00000000" w:rsidRPr="00000000" w14:paraId="0000002B">
            <w:pPr>
              <w:rPr>
                <w:color w:val="548dd4"/>
              </w:rPr>
            </w:pPr>
            <w:r w:rsidDel="00000000" w:rsidR="00000000" w:rsidRPr="00000000">
              <w:rPr>
                <w:rtl w:val="0"/>
              </w:rPr>
            </w:r>
          </w:p>
        </w:tc>
        <w:tc>
          <w:tcPr/>
          <w:p w:rsidR="00000000" w:rsidDel="00000000" w:rsidP="00000000" w:rsidRDefault="00000000" w:rsidRPr="00000000" w14:paraId="0000002C">
            <w:pPr>
              <w:rPr>
                <w:color w:val="548dd4"/>
              </w:rPr>
            </w:pPr>
            <w:r w:rsidDel="00000000" w:rsidR="00000000" w:rsidRPr="00000000">
              <w:rPr>
                <w:rtl w:val="0"/>
              </w:rPr>
            </w:r>
          </w:p>
        </w:tc>
      </w:tr>
    </w:tbl>
    <w:p w:rsidR="00000000" w:rsidDel="00000000" w:rsidP="00000000" w:rsidRDefault="00000000" w:rsidRPr="00000000" w14:paraId="0000002D">
      <w:pPr>
        <w:pageBreakBefore w:val="0"/>
        <w:rPr>
          <w:color w:val="548dd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-912443</wp:posOffset>
            </wp:positionH>
            <wp:positionV relativeFrom="paragraph">
              <wp:posOffset>7569933</wp:posOffset>
            </wp:positionV>
            <wp:extent cx="7766681" cy="804079"/>
            <wp:effectExtent b="0" l="0" r="0" t="0"/>
            <wp:wrapNone/>
            <wp:docPr descr="E-Lth-VPRED_Bottom.tif" id="8" name="image2.png"/>
            <a:graphic>
              <a:graphicData uri="http://schemas.openxmlformats.org/drawingml/2006/picture">
                <pic:pic>
                  <pic:nvPicPr>
                    <pic:cNvPr descr="E-Lth-VPRED_Bottom.tif" id="0" name="image2.png"/>
                    <pic:cNvPicPr preferRelativeResize="0"/>
                  </pic:nvPicPr>
                  <pic:blipFill>
                    <a:blip r:embed="rId8"/>
                    <a:srcRect b="0" l="0" r="0" t="0"/>
                    <a:stretch>
                      <a:fillRect/>
                    </a:stretch>
                  </pic:blipFill>
                  <pic:spPr>
                    <a:xfrm>
                      <a:off x="0" y="0"/>
                      <a:ext cx="7766681" cy="804079"/>
                    </a:xfrm>
                    <a:prstGeom prst="rect"/>
                    <a:ln/>
                  </pic:spPr>
                </pic:pic>
              </a:graphicData>
            </a:graphic>
          </wp:anchor>
        </w:drawing>
      </w:r>
    </w:p>
    <w:sectPr>
      <w:footerReference r:id="rId9"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Educational Access Center</w:t>
    </w:r>
  </w:p>
  <w:p w:rsidR="00000000" w:rsidDel="00000000" w:rsidP="00000000" w:rsidRDefault="00000000" w:rsidRPr="00000000" w14:paraId="0000002F">
    <w:pPr>
      <w:spacing w:after="0" w:line="276" w:lineRule="auto"/>
      <w:rPr/>
    </w:pPr>
    <w:hyperlink r:id="rId1">
      <w:r w:rsidDel="00000000" w:rsidR="00000000" w:rsidRPr="00000000">
        <w:rPr>
          <w:rFonts w:ascii="Times New Roman" w:cs="Times New Roman" w:eastAsia="Times New Roman" w:hAnsi="Times New Roman"/>
          <w:color w:val="1155cc"/>
          <w:u w:val="single"/>
          <w:rtl w:val="0"/>
        </w:rPr>
        <w:t xml:space="preserve">www.boisestate.edu/eac/</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3CA1"/>
    <w:pPr>
      <w:spacing w:after="200"/>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DE0543"/>
    <w:rPr>
      <w:color w:val="0000ff"/>
      <w:u w:val="single"/>
    </w:rPr>
  </w:style>
  <w:style w:type="table" w:styleId="TableGrid">
    <w:name w:val="Table Grid"/>
    <w:basedOn w:val="TableNormal"/>
    <w:uiPriority w:val="59"/>
    <w:rsid w:val="00BC0B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ww.boisestate.edu/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ahu6cXNBApLYF5nhv45xvggpg==">AMUW2mV0p7GbqbQVdjjMXzMrAl7/gLUG4irDMXdAweLQ0i5QmheHNoo7OSqo+lwCRI51Y0ku9188DUgl9QiRkIfVGnC+fiWdax9X0ULjReoybphscVR38A4T6ZE05S10/MB2h1/DneevvV0SKVy+WQTo6EnL4dFFnw==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2021-03-05T16:05:00Z</dcterms:created>
  <dc:creator>Dana Robinson</dc:creator>
</cp:coreProperties>
</file>